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99" w:rsidRDefault="002B4401">
      <w:pPr>
        <w:jc w:val="center"/>
        <w:rPr>
          <w:rFonts w:ascii="宋体" w:eastAsia="宋体" w:hAnsi="宋体" w:cs="宋体"/>
          <w:b/>
          <w:bCs/>
          <w:sz w:val="36"/>
          <w:szCs w:val="36"/>
        </w:rPr>
      </w:pPr>
      <w:r>
        <w:rPr>
          <w:rFonts w:ascii="宋体" w:eastAsia="宋体" w:hAnsi="宋体" w:cs="宋体" w:hint="eastAsia"/>
          <w:b/>
          <w:bCs/>
          <w:sz w:val="36"/>
          <w:szCs w:val="36"/>
        </w:rPr>
        <w:t>血透系统升级及维保项目情况说明</w:t>
      </w:r>
    </w:p>
    <w:p w:rsidR="00527B99" w:rsidRDefault="00CA015A">
      <w:pPr>
        <w:autoSpaceDE w:val="0"/>
        <w:autoSpaceDN w:val="0"/>
        <w:jc w:val="left"/>
        <w:rPr>
          <w:rFonts w:ascii="宋体" w:eastAsia="宋体" w:hAnsi="宋体" w:cs="宋体"/>
          <w:kern w:val="0"/>
          <w:sz w:val="28"/>
          <w:szCs w:val="28"/>
        </w:rPr>
      </w:pPr>
      <w:bookmarkStart w:id="0" w:name="_GoBack"/>
      <w:bookmarkEnd w:id="0"/>
      <w:r>
        <w:rPr>
          <w:rFonts w:ascii="宋体" w:eastAsia="宋体" w:hAnsi="宋体" w:cs="宋体" w:hint="eastAsia"/>
          <w:kern w:val="0"/>
          <w:sz w:val="28"/>
          <w:szCs w:val="28"/>
        </w:rPr>
        <w:t>一</w:t>
      </w:r>
      <w:r w:rsidR="002B4401">
        <w:rPr>
          <w:rFonts w:ascii="宋体" w:eastAsia="宋体" w:hAnsi="宋体" w:cs="宋体" w:hint="eastAsia"/>
          <w:kern w:val="0"/>
          <w:sz w:val="28"/>
          <w:szCs w:val="28"/>
        </w:rPr>
        <w:t>、</w:t>
      </w:r>
      <w:r w:rsidR="002B4401">
        <w:rPr>
          <w:rFonts w:ascii="宋体" w:eastAsia="宋体" w:hAnsi="宋体" w:cs="宋体" w:hint="eastAsia"/>
          <w:kern w:val="0"/>
          <w:sz w:val="28"/>
          <w:szCs w:val="28"/>
        </w:rPr>
        <w:t>升级目标：</w:t>
      </w:r>
    </w:p>
    <w:p w:rsidR="00527B99" w:rsidRDefault="002B4401">
      <w:pPr>
        <w:autoSpaceDE w:val="0"/>
        <w:autoSpaceDN w:val="0"/>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实现以患者为中心，带动透析中心信息化和智能化改造，减轻医护人员工作负担，提升患者满意度，提高透析系统与医院电子病历系统的粘合度与医院</w:t>
      </w:r>
      <w:r>
        <w:rPr>
          <w:rFonts w:ascii="宋体" w:eastAsia="宋体" w:hAnsi="宋体" w:cs="宋体" w:hint="eastAsia"/>
          <w:kern w:val="0"/>
          <w:sz w:val="28"/>
          <w:szCs w:val="28"/>
        </w:rPr>
        <w:t>his</w:t>
      </w:r>
      <w:r>
        <w:rPr>
          <w:rFonts w:ascii="宋体" w:eastAsia="宋体" w:hAnsi="宋体" w:cs="宋体" w:hint="eastAsia"/>
          <w:kern w:val="0"/>
          <w:sz w:val="28"/>
          <w:szCs w:val="28"/>
        </w:rPr>
        <w:t>和</w:t>
      </w:r>
      <w:r>
        <w:rPr>
          <w:rFonts w:ascii="宋体" w:eastAsia="宋体" w:hAnsi="宋体" w:cs="宋体" w:hint="eastAsia"/>
          <w:kern w:val="0"/>
          <w:sz w:val="28"/>
          <w:szCs w:val="28"/>
        </w:rPr>
        <w:t>lis</w:t>
      </w:r>
      <w:r>
        <w:rPr>
          <w:rFonts w:ascii="宋体" w:eastAsia="宋体" w:hAnsi="宋体" w:cs="宋体" w:hint="eastAsia"/>
          <w:kern w:val="0"/>
          <w:sz w:val="28"/>
          <w:szCs w:val="28"/>
        </w:rPr>
        <w:t>系统对接，满足电子病历应用的要求。</w:t>
      </w:r>
    </w:p>
    <w:p w:rsidR="00527B99" w:rsidRDefault="00CA015A">
      <w:pPr>
        <w:autoSpaceDE w:val="0"/>
        <w:autoSpaceDN w:val="0"/>
        <w:rPr>
          <w:rFonts w:ascii="宋体" w:eastAsia="宋体" w:hAnsi="宋体" w:cs="宋体"/>
          <w:sz w:val="28"/>
          <w:szCs w:val="28"/>
        </w:rPr>
      </w:pPr>
      <w:r>
        <w:rPr>
          <w:rFonts w:ascii="宋体" w:eastAsia="宋体" w:hAnsi="宋体" w:cs="宋体" w:hint="eastAsia"/>
          <w:b/>
          <w:bCs/>
          <w:kern w:val="0"/>
          <w:sz w:val="28"/>
          <w:szCs w:val="28"/>
        </w:rPr>
        <w:t>二</w:t>
      </w:r>
      <w:r w:rsidR="002B4401">
        <w:rPr>
          <w:rFonts w:ascii="宋体" w:eastAsia="宋体" w:hAnsi="宋体" w:cs="宋体" w:hint="eastAsia"/>
          <w:b/>
          <w:bCs/>
          <w:kern w:val="0"/>
          <w:sz w:val="28"/>
          <w:szCs w:val="28"/>
        </w:rPr>
        <w:t>、</w:t>
      </w:r>
      <w:r w:rsidR="002B4401">
        <w:rPr>
          <w:rFonts w:ascii="宋体" w:eastAsia="宋体" w:hAnsi="宋体" w:cs="宋体" w:hint="eastAsia"/>
          <w:sz w:val="28"/>
          <w:szCs w:val="28"/>
        </w:rPr>
        <w:t>项目规模及范围</w:t>
      </w:r>
    </w:p>
    <w:p w:rsidR="00527B99" w:rsidRDefault="002B4401">
      <w:pPr>
        <w:numPr>
          <w:ilvl w:val="0"/>
          <w:numId w:val="2"/>
        </w:numPr>
        <w:autoSpaceDE w:val="0"/>
        <w:autoSpaceDN w:val="0"/>
        <w:rPr>
          <w:rFonts w:ascii="宋体" w:eastAsia="宋体" w:hAnsi="宋体" w:cs="宋体"/>
          <w:sz w:val="28"/>
          <w:szCs w:val="28"/>
        </w:rPr>
      </w:pPr>
      <w:r>
        <w:rPr>
          <w:rFonts w:ascii="宋体" w:eastAsia="宋体" w:hAnsi="宋体" w:cs="宋体" w:hint="eastAsia"/>
          <w:sz w:val="28"/>
          <w:szCs w:val="28"/>
        </w:rPr>
        <w:t>项目</w:t>
      </w:r>
      <w:r>
        <w:rPr>
          <w:rFonts w:ascii="宋体" w:eastAsia="宋体" w:hAnsi="宋体" w:cs="宋体" w:hint="eastAsia"/>
          <w:sz w:val="28"/>
          <w:szCs w:val="28"/>
        </w:rPr>
        <w:t>内容</w:t>
      </w:r>
    </w:p>
    <w:p w:rsidR="00527B99" w:rsidRDefault="002B4401">
      <w:pPr>
        <w:numPr>
          <w:ilvl w:val="0"/>
          <w:numId w:val="3"/>
        </w:numPr>
        <w:tabs>
          <w:tab w:val="left" w:pos="2347"/>
        </w:tabs>
        <w:rPr>
          <w:rFonts w:ascii="宋体" w:eastAsia="宋体" w:hAnsi="宋体" w:cs="宋体"/>
          <w:sz w:val="28"/>
          <w:szCs w:val="28"/>
        </w:rPr>
      </w:pPr>
      <w:r>
        <w:rPr>
          <w:rFonts w:ascii="宋体" w:eastAsia="宋体" w:hAnsi="宋体" w:cs="宋体" w:hint="eastAsia"/>
          <w:sz w:val="28"/>
          <w:szCs w:val="28"/>
        </w:rPr>
        <w:t>系统架构升级内容</w:t>
      </w:r>
    </w:p>
    <w:p w:rsidR="00527B99" w:rsidRDefault="002B4401">
      <w:pPr>
        <w:tabs>
          <w:tab w:val="left" w:pos="2347"/>
        </w:tabs>
        <w:rPr>
          <w:rFonts w:ascii="宋体" w:eastAsia="宋体" w:hAnsi="宋体" w:cs="宋体"/>
          <w:sz w:val="28"/>
          <w:szCs w:val="28"/>
        </w:rPr>
      </w:pPr>
      <w:r>
        <w:rPr>
          <w:rFonts w:ascii="宋体" w:eastAsia="宋体" w:hAnsi="宋体" w:cs="宋体" w:hint="eastAsia"/>
          <w:sz w:val="28"/>
          <w:szCs w:val="28"/>
        </w:rPr>
        <w:t>系统架构从</w:t>
      </w:r>
      <w:r>
        <w:rPr>
          <w:rFonts w:ascii="宋体" w:eastAsia="宋体" w:hAnsi="宋体" w:cs="宋体" w:hint="eastAsia"/>
          <w:sz w:val="28"/>
          <w:szCs w:val="28"/>
        </w:rPr>
        <w:t>CS</w:t>
      </w:r>
      <w:r>
        <w:rPr>
          <w:rFonts w:ascii="宋体" w:eastAsia="宋体" w:hAnsi="宋体" w:cs="宋体" w:hint="eastAsia"/>
          <w:sz w:val="28"/>
          <w:szCs w:val="28"/>
        </w:rPr>
        <w:t>系统升级到</w:t>
      </w:r>
      <w:r>
        <w:rPr>
          <w:rFonts w:ascii="宋体" w:eastAsia="宋体" w:hAnsi="宋体" w:cs="宋体" w:hint="eastAsia"/>
          <w:sz w:val="28"/>
          <w:szCs w:val="28"/>
        </w:rPr>
        <w:t>BS</w:t>
      </w:r>
      <w:r>
        <w:rPr>
          <w:rFonts w:ascii="宋体" w:eastAsia="宋体" w:hAnsi="宋体" w:cs="宋体" w:hint="eastAsia"/>
          <w:sz w:val="28"/>
          <w:szCs w:val="28"/>
        </w:rPr>
        <w:t>架构，方便全院任何一台电脑可以登录系统进行内容查看和操作。</w:t>
      </w:r>
    </w:p>
    <w:p w:rsidR="00527B99" w:rsidRDefault="002B4401">
      <w:pPr>
        <w:numPr>
          <w:ilvl w:val="0"/>
          <w:numId w:val="3"/>
        </w:numPr>
        <w:tabs>
          <w:tab w:val="left" w:pos="2347"/>
        </w:tabs>
        <w:rPr>
          <w:rFonts w:ascii="宋体" w:eastAsia="宋体" w:hAnsi="宋体" w:cs="宋体"/>
          <w:sz w:val="28"/>
          <w:szCs w:val="28"/>
        </w:rPr>
      </w:pPr>
      <w:r>
        <w:rPr>
          <w:rFonts w:ascii="宋体" w:eastAsia="宋体" w:hAnsi="宋体" w:cs="宋体" w:hint="eastAsia"/>
          <w:sz w:val="28"/>
          <w:szCs w:val="28"/>
        </w:rPr>
        <w:t>软件</w:t>
      </w:r>
      <w:r>
        <w:rPr>
          <w:rFonts w:ascii="宋体" w:eastAsia="宋体" w:hAnsi="宋体" w:cs="宋体" w:hint="eastAsia"/>
          <w:sz w:val="28"/>
          <w:szCs w:val="28"/>
        </w:rPr>
        <w:t>升级内容</w:t>
      </w:r>
      <w:r>
        <w:rPr>
          <w:rFonts w:ascii="宋体" w:eastAsia="宋体" w:hAnsi="宋体" w:cs="宋体" w:hint="eastAsia"/>
          <w:sz w:val="28"/>
          <w:szCs w:val="28"/>
        </w:rPr>
        <w:tab/>
      </w:r>
    </w:p>
    <w:tbl>
      <w:tblPr>
        <w:tblpPr w:leftFromText="180" w:rightFromText="180" w:vertAnchor="text" w:horzAnchor="page" w:tblpX="1806" w:tblpY="623"/>
        <w:tblOverlap w:val="never"/>
        <w:tblW w:w="5052" w:type="pct"/>
        <w:tblLook w:val="04A0"/>
      </w:tblPr>
      <w:tblGrid>
        <w:gridCol w:w="1336"/>
        <w:gridCol w:w="11416"/>
      </w:tblGrid>
      <w:tr w:rsidR="00527B99">
        <w:trPr>
          <w:trHeight w:val="608"/>
        </w:trPr>
        <w:tc>
          <w:tcPr>
            <w:tcW w:w="786" w:type="pct"/>
            <w:vMerge w:val="restart"/>
            <w:tcBorders>
              <w:top w:val="single" w:sz="4" w:space="0" w:color="auto"/>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w:t>
            </w:r>
          </w:p>
        </w:tc>
        <w:tc>
          <w:tcPr>
            <w:tcW w:w="4213" w:type="pct"/>
            <w:tcBorders>
              <w:top w:val="single" w:sz="4" w:space="0" w:color="auto"/>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透析记录模块的表单项目可以自由配置是否启用、是否可编辑、是否必填及显示样式信息</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透析记录模块新增保护措施、宣教内容、内瘘情况、导管情况等项目</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PC</w:t>
            </w:r>
            <w:r>
              <w:rPr>
                <w:rFonts w:ascii="宋体" w:eastAsia="宋体" w:hAnsi="宋体" w:cs="宋体" w:hint="eastAsia"/>
                <w:color w:val="000000"/>
                <w:kern w:val="0"/>
                <w:sz w:val="28"/>
                <w:szCs w:val="28"/>
              </w:rPr>
              <w:t>端透析记录添加特特别关注患者选择条件</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透析记录选择普通肝素时可自动计算总量</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透析记录内瘘评估添加内瘘分级新项目</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归档必填项检查配置添加上机时间</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透前准备医嘱打印功能改进</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透析记录未签到列表添加删除排班数据功能</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透析信息保存到方案时同步保存透析记录</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执行医嘱菜单添加单独的核对和取消核对权限，相关操作严格按照权限配置进行</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归档检查项目添加实际下机时间是否与最后的监测记录时间一致的配置</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透析记录小条打印添加证件号码和病案号配置项</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透析记录必填项配置项添加置换液总量信息检查项</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透析记录归档必填项配置项添加通路部位选项</w:t>
            </w:r>
          </w:p>
        </w:tc>
      </w:tr>
      <w:tr w:rsidR="00527B99">
        <w:trPr>
          <w:trHeight w:val="403"/>
        </w:trPr>
        <w:tc>
          <w:tcPr>
            <w:tcW w:w="786" w:type="pct"/>
            <w:vMerge/>
            <w:tcBorders>
              <w:top w:val="single" w:sz="4" w:space="0" w:color="auto"/>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添加配置项控制透析记录接诊时部分项目的默认值</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化验</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化验整合大项列表显示备注信息</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化验整合添加清洗后结果展示</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库存</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科室全部患者的耗材视同统计模块添加导出功能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患者库存入库与出库模块添加耗材类型筛选条件</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患者库存入库模块添加快速跳转患者历史透析记录功能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患者库存入库模块添加在本条入库记录追加入库操作</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患者库存记录查询添加收费项名称筛选条件</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科室耗材和药品库存盘点模块添加删除操作</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库存进行手动出入库时可根据标签进行目录快速筛选</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患者库存出入库模块添加备注功能</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病例管理</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病历详情</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医嘱：新增执行医嘱查询模块</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病历详情</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医疗文书</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知情同意书：新增全屏查看功能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医疗文书模块新增富文本形式或者图片形式得院外病历录入功能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病历首页的析之助模板中报表标题名称可配置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病历详情模块添加血源性病原体检测表功能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通路感染模块添加新的记录项目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患者历史透析记录模块添加按月统计透析例次功能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病理诊断</w:t>
            </w:r>
            <w:r>
              <w:rPr>
                <w:rFonts w:ascii="宋体" w:eastAsia="宋体" w:hAnsi="宋体" w:cs="宋体" w:hint="eastAsia"/>
                <w:color w:val="000000"/>
                <w:kern w:val="0"/>
                <w:sz w:val="28"/>
                <w:szCs w:val="28"/>
              </w:rPr>
              <w:t>IgA</w:t>
            </w:r>
            <w:r>
              <w:rPr>
                <w:rFonts w:ascii="宋体" w:eastAsia="宋体" w:hAnsi="宋体" w:cs="宋体" w:hint="eastAsia"/>
                <w:color w:val="000000"/>
                <w:kern w:val="0"/>
                <w:sz w:val="28"/>
                <w:szCs w:val="28"/>
              </w:rPr>
              <w:t>肾病添加分型附加信息录入功能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病历详情模块查询条件添加责任人项目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病历详情和透析记录患者列表添加总数显示</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新增舒适度评估量表</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SGA</w:t>
            </w:r>
            <w:r>
              <w:rPr>
                <w:rFonts w:ascii="宋体" w:eastAsia="宋体" w:hAnsi="宋体" w:cs="宋体" w:hint="eastAsia"/>
                <w:color w:val="000000"/>
                <w:kern w:val="0"/>
                <w:sz w:val="28"/>
                <w:szCs w:val="28"/>
              </w:rPr>
              <w:t>营养评估添加患者身高体重等信息的记录选项</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患者历史透析列表添加透析当时的透龄数据显示</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管理看板</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科室驾驶舱添加当前页面查看模式</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管理看板三个模块统计条件添加长期</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临时项目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管理驾驶舱中性别、血管通路、发病原因、透析大于</w:t>
            </w: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年统计模块添加统计结果百分比显示</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管理驾驶舱模块添加详细统计数据查看功能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透析看板部分统计数据可点击统计图查看详细信息</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科室质量看板添加表格形式的统计功能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管理驾驶舱统计删除不良事件和营养统计</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新增血管通路和五年以上透析患者统计模块</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管理看板可快速查看未归档未消毒等条件的透析记录</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管理看板添加总透析人数项目统计</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管理看板患者信息排序与已签到的配置统一</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透析看板添加床位分组筛选条件</w:t>
            </w:r>
          </w:p>
        </w:tc>
      </w:tr>
      <w:tr w:rsidR="00527B99">
        <w:trPr>
          <w:trHeight w:val="403"/>
        </w:trPr>
        <w:tc>
          <w:tcPr>
            <w:tcW w:w="786" w:type="pct"/>
            <w:tcBorders>
              <w:top w:val="nil"/>
              <w:left w:val="single" w:sz="4" w:space="0" w:color="auto"/>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移动端</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移动端本次透析的穿刺信息模块穿刺者默认当前登录人</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基本信息</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患者基本信息中姓名可录入特殊字符</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患者档案列表添加点击姓名可跳转患者病历详情页面功能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患者病历详情模块添加院内患者</w:t>
            </w:r>
            <w:r>
              <w:rPr>
                <w:rFonts w:ascii="宋体" w:eastAsia="宋体" w:hAnsi="宋体" w:cs="宋体" w:hint="eastAsia"/>
                <w:color w:val="000000"/>
                <w:kern w:val="0"/>
                <w:sz w:val="28"/>
                <w:szCs w:val="28"/>
              </w:rPr>
              <w:t>360</w:t>
            </w:r>
            <w:r>
              <w:rPr>
                <w:rFonts w:ascii="宋体" w:eastAsia="宋体" w:hAnsi="宋体" w:cs="宋体" w:hint="eastAsia"/>
                <w:color w:val="000000"/>
                <w:kern w:val="0"/>
                <w:sz w:val="28"/>
                <w:szCs w:val="28"/>
              </w:rPr>
              <w:t>视图跳转功能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患者基础信息统计模块添加详细统计数据查看功能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患者档案模块主任角色可查看所有用户的负责患者</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患者列表病案号展示信息可配置</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系统设置</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常用医嘱组套配置模块移动到系统设置菜单中</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添加溶栓记录模块</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评估量表添加可自定义配置的量表模式</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添加用户分管患者查询模块</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科室交接班概要部分添加配置功能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患者基础信息中患者姓名可录入数字</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基础组套配置可设置耗材的默认出库类型为科室还是个人</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子系统退出程序功能添加防误操作逻辑</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变为连续点击</w:t>
            </w: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次按钮才退出</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附加配置</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添加附加配置项控制血流速置换液流速项目是否显示为区间输入框</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添加附加配置控制新增临时医嘱时个人库存和不计库存两个项目的默认值</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诊断字典配置添加各个系统是否启用的开关</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添加配置项控制透析记录接诊时责任人是否以患者基础信息为准</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其他设备记录配置项添加默认值配置逻辑</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添加用户自定义字典配置模块</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与其他自由设置表单的配置模块配套使用</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添加配置项可控制系统授权到期前多少天在登录时提醒用户</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质控评审</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质控与评审统计点击公式后同步显示具体的后端数据统计逻辑</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质控与评审统计导出文件添加入室时间和首次血透时间信息</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质控与评审统计模块导出文件添加统计逻辑说明</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质控与评审统计模块统计逻辑调整</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可下载详细统计数据</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统计分析</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患者信息统计的分管患者统计模块添加平铺模式</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可批量调整患者责任人信息</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添加透析患者通路感染月报统计模块</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透析信息统计模块模块添加渗血详情查询导出功能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透析信息统计模块添加科室透析台账功能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科室化验统计添加统计图点击联动逻辑</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科室化验统计添加导出指定分段结果数据功能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护士工作量统计添加下机者统计逻辑</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科室化验分段统计逻辑添加配置项控制是否只统计每个患者最新一条的数据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医嘱查询导出模块添加长期医嘱单打印功能</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设备管理</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透析用水检测记录取样位置与水机关联</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可快速选择出口回口项目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透析用水与透析液检测模块数据趋势图添加预警线展示</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透析用水取样位置与水机关联</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不与透析机关联</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且固定添加出口回口两个选项</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内毒素和细菌培养记录添加历史数据趋势图查看功能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内毒素和细菌培养记录可关联透析机信息</w:t>
            </w:r>
          </w:p>
        </w:tc>
      </w:tr>
      <w:tr w:rsidR="00527B99">
        <w:trPr>
          <w:trHeight w:val="403"/>
        </w:trPr>
        <w:tc>
          <w:tcPr>
            <w:tcW w:w="786" w:type="pct"/>
            <w:vMerge w:val="restart"/>
            <w:tcBorders>
              <w:top w:val="nil"/>
              <w:left w:val="single" w:sz="4" w:space="0" w:color="auto"/>
              <w:bottom w:val="single" w:sz="4" w:space="0" w:color="auto"/>
              <w:right w:val="single" w:sz="4" w:space="0" w:color="auto"/>
            </w:tcBorders>
            <w:noWrap/>
            <w:vAlign w:val="center"/>
          </w:tcPr>
          <w:p w:rsidR="00527B99" w:rsidRDefault="002B4401">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排班管理</w:t>
            </w: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患者排班数据新增时即保存透析器滤器信息</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患者排班数据新增查看历史记录功能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职工排班每个职工每天最多可录入三个排班数据</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职工排班添加打印功能</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排班排床模板功能的患者列表添加全区患者复选框</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预约排班与患者排床模块添加单独的模版权限配置项</w:t>
            </w:r>
          </w:p>
        </w:tc>
      </w:tr>
      <w:tr w:rsidR="00527B99">
        <w:trPr>
          <w:trHeight w:val="403"/>
        </w:trPr>
        <w:tc>
          <w:tcPr>
            <w:tcW w:w="786" w:type="pct"/>
            <w:vMerge/>
            <w:tcBorders>
              <w:top w:val="nil"/>
              <w:left w:val="single" w:sz="4" w:space="0" w:color="auto"/>
              <w:bottom w:val="single" w:sz="4" w:space="0" w:color="auto"/>
              <w:right w:val="single" w:sz="4" w:space="0" w:color="auto"/>
            </w:tcBorders>
            <w:noWrap/>
            <w:vAlign w:val="center"/>
          </w:tcPr>
          <w:p w:rsidR="00527B99" w:rsidRDefault="00527B99">
            <w:pPr>
              <w:widowControl/>
              <w:jc w:val="left"/>
              <w:rPr>
                <w:rFonts w:ascii="宋体" w:eastAsia="宋体" w:hAnsi="宋体" w:cs="宋体"/>
                <w:color w:val="000000"/>
                <w:kern w:val="0"/>
                <w:sz w:val="28"/>
                <w:szCs w:val="28"/>
              </w:rPr>
            </w:pPr>
          </w:p>
        </w:tc>
        <w:tc>
          <w:tcPr>
            <w:tcW w:w="4213" w:type="pct"/>
            <w:tcBorders>
              <w:top w:val="nil"/>
              <w:left w:val="nil"/>
              <w:bottom w:val="single" w:sz="4" w:space="0" w:color="auto"/>
              <w:right w:val="single" w:sz="4" w:space="0" w:color="auto"/>
            </w:tcBorders>
            <w:noWrap/>
            <w:vAlign w:val="bottom"/>
          </w:tcPr>
          <w:p w:rsidR="00527B99" w:rsidRDefault="002B4401">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预约排班与患者排床模块的班次与周几选项添加全选和全不选的快捷选项</w:t>
            </w:r>
          </w:p>
        </w:tc>
      </w:tr>
    </w:tbl>
    <w:p w:rsidR="00527B99" w:rsidRDefault="00527B99">
      <w:pPr>
        <w:tabs>
          <w:tab w:val="left" w:pos="2347"/>
        </w:tabs>
        <w:rPr>
          <w:rFonts w:ascii="宋体" w:eastAsia="宋体" w:hAnsi="宋体" w:cs="宋体"/>
          <w:sz w:val="28"/>
          <w:szCs w:val="28"/>
        </w:rPr>
      </w:pPr>
    </w:p>
    <w:p w:rsidR="00527B99" w:rsidRDefault="002B4401">
      <w:pPr>
        <w:widowControl/>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、系统升级接口需求（和医院平台对接）</w:t>
      </w:r>
    </w:p>
    <w:tbl>
      <w:tblPr>
        <w:tblW w:w="9063" w:type="dxa"/>
        <w:tblInd w:w="-33" w:type="dxa"/>
        <w:tblLayout w:type="fixed"/>
        <w:tblLook w:val="04A0"/>
      </w:tblPr>
      <w:tblGrid>
        <w:gridCol w:w="1139"/>
        <w:gridCol w:w="3089"/>
        <w:gridCol w:w="4835"/>
      </w:tblGrid>
      <w:tr w:rsidR="00527B99">
        <w:trPr>
          <w:trHeight w:val="1002"/>
        </w:trPr>
        <w:tc>
          <w:tcPr>
            <w:tcW w:w="1139" w:type="dxa"/>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rsidR="00527B99" w:rsidRDefault="002B4401">
            <w:pPr>
              <w:widowControl/>
              <w:jc w:val="left"/>
              <w:textAlignment w:val="center"/>
              <w:rPr>
                <w:rFonts w:ascii="宋体" w:eastAsia="宋体" w:hAnsi="宋体" w:cs="宋体"/>
                <w:bCs/>
                <w:color w:val="000000"/>
                <w:sz w:val="28"/>
                <w:szCs w:val="28"/>
              </w:rPr>
            </w:pPr>
            <w:r>
              <w:rPr>
                <w:rStyle w:val="font11"/>
                <w:b w:val="0"/>
                <w:color w:val="000000"/>
                <w:sz w:val="28"/>
                <w:szCs w:val="28"/>
                <w:lang/>
              </w:rPr>
              <w:lastRenderedPageBreak/>
              <w:t>No.</w:t>
            </w:r>
          </w:p>
        </w:tc>
        <w:tc>
          <w:tcPr>
            <w:tcW w:w="30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Fonts w:ascii="宋体" w:eastAsia="宋体" w:hAnsi="宋体" w:cs="宋体"/>
                <w:bCs/>
                <w:color w:val="000000"/>
                <w:sz w:val="28"/>
                <w:szCs w:val="28"/>
              </w:rPr>
            </w:pPr>
            <w:r>
              <w:rPr>
                <w:rStyle w:val="font11"/>
                <w:b w:val="0"/>
                <w:color w:val="000000"/>
                <w:sz w:val="28"/>
                <w:szCs w:val="28"/>
                <w:lang/>
              </w:rPr>
              <w:t>对接内容</w:t>
            </w:r>
          </w:p>
        </w:tc>
        <w:tc>
          <w:tcPr>
            <w:tcW w:w="4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Fonts w:ascii="宋体" w:eastAsia="宋体" w:hAnsi="宋体" w:cs="宋体"/>
                <w:bCs/>
                <w:color w:val="000000"/>
                <w:sz w:val="28"/>
                <w:szCs w:val="28"/>
              </w:rPr>
            </w:pPr>
            <w:r>
              <w:rPr>
                <w:rStyle w:val="font11"/>
                <w:b w:val="0"/>
                <w:color w:val="000000"/>
                <w:sz w:val="28"/>
                <w:szCs w:val="28"/>
                <w:lang/>
              </w:rPr>
              <w:t>说明</w:t>
            </w:r>
          </w:p>
        </w:tc>
      </w:tr>
      <w:tr w:rsidR="00527B99">
        <w:trPr>
          <w:trHeight w:val="503"/>
        </w:trPr>
        <w:tc>
          <w:tcPr>
            <w:tcW w:w="1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rPr>
              <w:t>1</w:t>
            </w:r>
          </w:p>
        </w:tc>
        <w:tc>
          <w:tcPr>
            <w:tcW w:w="30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Fonts w:ascii="宋体" w:eastAsia="宋体" w:hAnsi="宋体" w:cs="宋体"/>
                <w:color w:val="000000"/>
                <w:sz w:val="28"/>
                <w:szCs w:val="28"/>
              </w:rPr>
            </w:pPr>
            <w:r>
              <w:rPr>
                <w:rStyle w:val="font31"/>
                <w:sz w:val="28"/>
                <w:szCs w:val="28"/>
                <w:lang/>
              </w:rPr>
              <w:t>患者基本信息</w:t>
            </w:r>
          </w:p>
        </w:tc>
        <w:tc>
          <w:tcPr>
            <w:tcW w:w="4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Style w:val="font31"/>
                <w:rFonts w:hint="default"/>
                <w:sz w:val="28"/>
                <w:szCs w:val="28"/>
                <w:lang/>
              </w:rPr>
            </w:pPr>
            <w:r>
              <w:rPr>
                <w:rStyle w:val="font31"/>
                <w:sz w:val="28"/>
                <w:szCs w:val="28"/>
                <w:lang/>
              </w:rPr>
              <w:t>血透查询。获取患者就诊信息，将就诊信息同步到当次透析记录进行关联，</w:t>
            </w:r>
          </w:p>
        </w:tc>
      </w:tr>
      <w:tr w:rsidR="00527B99">
        <w:trPr>
          <w:trHeight w:val="850"/>
        </w:trPr>
        <w:tc>
          <w:tcPr>
            <w:tcW w:w="1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rPr>
              <w:t>2</w:t>
            </w:r>
          </w:p>
        </w:tc>
        <w:tc>
          <w:tcPr>
            <w:tcW w:w="30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化验数据对接</w:t>
            </w:r>
          </w:p>
        </w:tc>
        <w:tc>
          <w:tcPr>
            <w:tcW w:w="4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Fonts w:ascii="宋体" w:eastAsia="宋体" w:hAnsi="宋体" w:cs="宋体"/>
                <w:color w:val="000000"/>
                <w:sz w:val="28"/>
                <w:szCs w:val="28"/>
              </w:rPr>
            </w:pPr>
            <w:r>
              <w:rPr>
                <w:rStyle w:val="font31"/>
                <w:sz w:val="28"/>
                <w:szCs w:val="28"/>
                <w:lang/>
              </w:rPr>
              <w:t>血透查询。原患者检验数据对记录到系统内。</w:t>
            </w:r>
          </w:p>
        </w:tc>
      </w:tr>
    </w:tbl>
    <w:p w:rsidR="00527B99" w:rsidRDefault="002B4401">
      <w:pPr>
        <w:widowControl/>
        <w:numPr>
          <w:ilvl w:val="0"/>
          <w:numId w:val="3"/>
        </w:numPr>
        <w:jc w:val="left"/>
        <w:rPr>
          <w:rFonts w:ascii="宋体" w:eastAsia="宋体" w:hAnsi="宋体" w:cs="宋体"/>
          <w:sz w:val="28"/>
          <w:szCs w:val="28"/>
        </w:rPr>
      </w:pPr>
      <w:r>
        <w:rPr>
          <w:rFonts w:ascii="宋体" w:eastAsia="宋体" w:hAnsi="宋体" w:cs="宋体" w:hint="eastAsia"/>
          <w:sz w:val="28"/>
          <w:szCs w:val="28"/>
        </w:rPr>
        <w:t>日常维护费内容</w:t>
      </w:r>
    </w:p>
    <w:tbl>
      <w:tblPr>
        <w:tblW w:w="8600" w:type="dxa"/>
        <w:tblInd w:w="-33" w:type="dxa"/>
        <w:tblLayout w:type="fixed"/>
        <w:tblLook w:val="04A0"/>
      </w:tblPr>
      <w:tblGrid>
        <w:gridCol w:w="1139"/>
        <w:gridCol w:w="2116"/>
        <w:gridCol w:w="5345"/>
      </w:tblGrid>
      <w:tr w:rsidR="00527B99">
        <w:trPr>
          <w:trHeight w:val="592"/>
        </w:trPr>
        <w:tc>
          <w:tcPr>
            <w:tcW w:w="1139" w:type="dxa"/>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rsidR="00527B99" w:rsidRDefault="002B4401">
            <w:pPr>
              <w:widowControl/>
              <w:jc w:val="left"/>
              <w:textAlignment w:val="center"/>
              <w:rPr>
                <w:rFonts w:ascii="宋体" w:eastAsia="宋体" w:hAnsi="宋体" w:cs="宋体"/>
                <w:bCs/>
                <w:color w:val="000000"/>
                <w:sz w:val="28"/>
                <w:szCs w:val="28"/>
              </w:rPr>
            </w:pPr>
            <w:r>
              <w:rPr>
                <w:rStyle w:val="font11"/>
                <w:b w:val="0"/>
                <w:color w:val="000000"/>
                <w:sz w:val="28"/>
                <w:szCs w:val="28"/>
                <w:lang/>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Fonts w:ascii="宋体" w:eastAsia="宋体" w:hAnsi="宋体" w:cs="宋体"/>
                <w:bCs/>
                <w:color w:val="000000"/>
                <w:sz w:val="28"/>
                <w:szCs w:val="28"/>
              </w:rPr>
            </w:pPr>
            <w:r>
              <w:rPr>
                <w:rStyle w:val="font11"/>
                <w:b w:val="0"/>
                <w:color w:val="000000"/>
                <w:sz w:val="28"/>
                <w:szCs w:val="28"/>
                <w:lang/>
              </w:rPr>
              <w:t>对接内容</w:t>
            </w:r>
          </w:p>
        </w:tc>
        <w:tc>
          <w:tcPr>
            <w:tcW w:w="5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Fonts w:ascii="宋体" w:eastAsia="宋体" w:hAnsi="宋体" w:cs="宋体"/>
                <w:bCs/>
                <w:color w:val="000000"/>
                <w:sz w:val="28"/>
                <w:szCs w:val="28"/>
              </w:rPr>
            </w:pPr>
            <w:r>
              <w:rPr>
                <w:rStyle w:val="font11"/>
                <w:b w:val="0"/>
                <w:color w:val="000000"/>
                <w:sz w:val="28"/>
                <w:szCs w:val="28"/>
                <w:lang/>
              </w:rPr>
              <w:t>说明</w:t>
            </w:r>
          </w:p>
        </w:tc>
      </w:tr>
      <w:tr w:rsidR="00527B99">
        <w:trPr>
          <w:trHeight w:val="637"/>
        </w:trPr>
        <w:tc>
          <w:tcPr>
            <w:tcW w:w="1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数据对接</w:t>
            </w:r>
          </w:p>
        </w:tc>
        <w:tc>
          <w:tcPr>
            <w:tcW w:w="5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Style w:val="font31"/>
                <w:rFonts w:hint="default"/>
                <w:sz w:val="28"/>
                <w:szCs w:val="28"/>
                <w:lang/>
              </w:rPr>
            </w:pPr>
            <w:r>
              <w:rPr>
                <w:rStyle w:val="font31"/>
                <w:sz w:val="28"/>
                <w:szCs w:val="28"/>
                <w:lang/>
              </w:rPr>
              <w:t>老系统数据对接到新系统中，进行日常使用和查看</w:t>
            </w:r>
          </w:p>
        </w:tc>
      </w:tr>
      <w:tr w:rsidR="00527B99">
        <w:trPr>
          <w:trHeight w:val="850"/>
        </w:trPr>
        <w:tc>
          <w:tcPr>
            <w:tcW w:w="1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线上售后服务</w:t>
            </w:r>
          </w:p>
        </w:tc>
        <w:tc>
          <w:tcPr>
            <w:tcW w:w="5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Style w:val="font31"/>
                <w:rFonts w:hint="default"/>
                <w:sz w:val="28"/>
                <w:szCs w:val="28"/>
                <w:lang/>
              </w:rPr>
            </w:pPr>
            <w:r>
              <w:rPr>
                <w:rStyle w:val="font31"/>
                <w:sz w:val="28"/>
                <w:szCs w:val="28"/>
                <w:lang/>
              </w:rPr>
              <w:t>线上</w:t>
            </w:r>
            <w:r>
              <w:rPr>
                <w:rStyle w:val="font31"/>
                <w:sz w:val="28"/>
                <w:szCs w:val="28"/>
                <w:lang/>
              </w:rPr>
              <w:t>30</w:t>
            </w:r>
            <w:r>
              <w:rPr>
                <w:rStyle w:val="font31"/>
                <w:sz w:val="28"/>
                <w:szCs w:val="28"/>
                <w:lang/>
              </w:rPr>
              <w:t>分钟内响应，</w:t>
            </w:r>
            <w:r>
              <w:rPr>
                <w:rStyle w:val="font31"/>
                <w:sz w:val="28"/>
                <w:szCs w:val="28"/>
                <w:lang/>
              </w:rPr>
              <w:t>7*12</w:t>
            </w:r>
            <w:r>
              <w:rPr>
                <w:rStyle w:val="font31"/>
                <w:sz w:val="28"/>
                <w:szCs w:val="28"/>
                <w:lang/>
              </w:rPr>
              <w:t>小时服务（</w:t>
            </w:r>
            <w:r>
              <w:rPr>
                <w:rStyle w:val="font31"/>
                <w:sz w:val="28"/>
                <w:szCs w:val="28"/>
                <w:lang/>
              </w:rPr>
              <w:t>7:00~19:00</w:t>
            </w:r>
            <w:r>
              <w:rPr>
                <w:rStyle w:val="font31"/>
                <w:sz w:val="28"/>
                <w:szCs w:val="28"/>
                <w:lang/>
              </w:rPr>
              <w:t>）</w:t>
            </w:r>
          </w:p>
        </w:tc>
      </w:tr>
      <w:tr w:rsidR="00527B99">
        <w:trPr>
          <w:trHeight w:val="850"/>
        </w:trPr>
        <w:tc>
          <w:tcPr>
            <w:tcW w:w="1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线下售后服务</w:t>
            </w:r>
          </w:p>
        </w:tc>
        <w:tc>
          <w:tcPr>
            <w:tcW w:w="5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Style w:val="font31"/>
                <w:rFonts w:hint="default"/>
                <w:sz w:val="28"/>
                <w:szCs w:val="28"/>
                <w:lang/>
              </w:rPr>
            </w:pPr>
            <w:r>
              <w:rPr>
                <w:rStyle w:val="font31"/>
                <w:sz w:val="28"/>
                <w:szCs w:val="28"/>
                <w:lang/>
              </w:rPr>
              <w:t>发生线上无法解决的严重问题后</w:t>
            </w:r>
            <w:r>
              <w:rPr>
                <w:rStyle w:val="font31"/>
                <w:sz w:val="28"/>
                <w:szCs w:val="28"/>
                <w:lang/>
              </w:rPr>
              <w:t>48</w:t>
            </w:r>
            <w:r>
              <w:rPr>
                <w:rStyle w:val="font31"/>
                <w:sz w:val="28"/>
                <w:szCs w:val="28"/>
                <w:lang/>
              </w:rPr>
              <w:t>小时内到达现场</w:t>
            </w:r>
          </w:p>
        </w:tc>
      </w:tr>
      <w:tr w:rsidR="00527B99">
        <w:trPr>
          <w:trHeight w:val="850"/>
        </w:trPr>
        <w:tc>
          <w:tcPr>
            <w:tcW w:w="1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7B99" w:rsidRDefault="002B4401">
            <w:pPr>
              <w:widowControl/>
              <w:jc w:val="left"/>
              <w:textAlignment w:val="center"/>
              <w:rPr>
                <w:rStyle w:val="font31"/>
                <w:rFonts w:hint="default"/>
                <w:sz w:val="28"/>
                <w:szCs w:val="28"/>
                <w:lang/>
              </w:rPr>
            </w:pPr>
            <w:r>
              <w:rPr>
                <w:rStyle w:val="font31"/>
                <w:sz w:val="28"/>
                <w:szCs w:val="28"/>
                <w:lang/>
              </w:rPr>
              <w:t>质控上报服务</w:t>
            </w:r>
          </w:p>
        </w:tc>
        <w:tc>
          <w:tcPr>
            <w:tcW w:w="5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B99" w:rsidRDefault="002B4401">
            <w:pPr>
              <w:widowControl/>
              <w:jc w:val="left"/>
              <w:textAlignment w:val="center"/>
              <w:rPr>
                <w:rStyle w:val="font31"/>
                <w:rFonts w:hint="default"/>
                <w:sz w:val="28"/>
                <w:szCs w:val="28"/>
                <w:lang/>
              </w:rPr>
            </w:pPr>
            <w:r>
              <w:rPr>
                <w:rStyle w:val="font31"/>
                <w:sz w:val="28"/>
                <w:szCs w:val="28"/>
                <w:lang/>
              </w:rPr>
              <w:t>每季度一次</w:t>
            </w:r>
            <w:r>
              <w:rPr>
                <w:rStyle w:val="font31"/>
                <w:sz w:val="28"/>
                <w:szCs w:val="28"/>
                <w:lang/>
              </w:rPr>
              <w:t>CNRDS</w:t>
            </w:r>
            <w:r>
              <w:rPr>
                <w:rStyle w:val="font31"/>
                <w:sz w:val="28"/>
                <w:szCs w:val="28"/>
                <w:lang/>
              </w:rPr>
              <w:t>质控数据上报</w:t>
            </w:r>
          </w:p>
        </w:tc>
      </w:tr>
    </w:tbl>
    <w:p w:rsidR="00527B99" w:rsidRDefault="00527B99">
      <w:pPr>
        <w:widowControl/>
        <w:jc w:val="left"/>
        <w:rPr>
          <w:rFonts w:ascii="宋体" w:eastAsia="宋体" w:hAnsi="宋体" w:cs="宋体"/>
          <w:sz w:val="28"/>
          <w:szCs w:val="28"/>
        </w:rPr>
      </w:pPr>
    </w:p>
    <w:p w:rsidR="00527B99" w:rsidRPr="00CA015A" w:rsidRDefault="002B4401" w:rsidP="00CA015A">
      <w:pPr>
        <w:pStyle w:val="a6"/>
        <w:widowControl/>
        <w:numPr>
          <w:ilvl w:val="0"/>
          <w:numId w:val="5"/>
        </w:numPr>
        <w:ind w:firstLineChars="0"/>
        <w:jc w:val="left"/>
        <w:rPr>
          <w:rFonts w:ascii="宋体" w:eastAsia="宋体" w:hAnsi="宋体" w:cs="宋体"/>
          <w:sz w:val="28"/>
          <w:szCs w:val="28"/>
        </w:rPr>
      </w:pPr>
      <w:r w:rsidRPr="00CA015A">
        <w:rPr>
          <w:rFonts w:ascii="宋体" w:eastAsia="宋体" w:hAnsi="宋体" w:cs="宋体" w:hint="eastAsia"/>
          <w:sz w:val="28"/>
          <w:szCs w:val="28"/>
        </w:rPr>
        <w:t>升级预算</w:t>
      </w:r>
    </w:p>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本项目总预算</w:t>
      </w:r>
      <w:r>
        <w:rPr>
          <w:rFonts w:ascii="宋体" w:eastAsia="宋体" w:hAnsi="宋体" w:cs="宋体" w:hint="eastAsia"/>
          <w:sz w:val="28"/>
          <w:szCs w:val="28"/>
        </w:rPr>
        <w:t>5.5</w:t>
      </w:r>
      <w:r>
        <w:rPr>
          <w:rFonts w:ascii="宋体" w:eastAsia="宋体" w:hAnsi="宋体" w:cs="宋体" w:hint="eastAsia"/>
          <w:sz w:val="28"/>
          <w:szCs w:val="28"/>
        </w:rPr>
        <w:t>万元，包含血透管理软件</w:t>
      </w:r>
      <w:r>
        <w:rPr>
          <w:rFonts w:ascii="宋体" w:eastAsia="宋体" w:hAnsi="宋体" w:cs="宋体" w:hint="eastAsia"/>
          <w:sz w:val="28"/>
          <w:szCs w:val="28"/>
        </w:rPr>
        <w:t>升级</w:t>
      </w:r>
      <w:r>
        <w:rPr>
          <w:rFonts w:ascii="宋体" w:eastAsia="宋体" w:hAnsi="宋体" w:cs="宋体" w:hint="eastAsia"/>
          <w:sz w:val="28"/>
          <w:szCs w:val="28"/>
        </w:rPr>
        <w:t>、</w:t>
      </w:r>
      <w:r>
        <w:rPr>
          <w:rFonts w:ascii="宋体" w:eastAsia="宋体" w:hAnsi="宋体" w:cs="宋体" w:hint="eastAsia"/>
          <w:sz w:val="28"/>
          <w:szCs w:val="28"/>
        </w:rPr>
        <w:t>化验数据对接开发</w:t>
      </w:r>
      <w:r>
        <w:rPr>
          <w:rFonts w:ascii="宋体" w:eastAsia="宋体" w:hAnsi="宋体" w:cs="宋体" w:hint="eastAsia"/>
          <w:sz w:val="28"/>
          <w:szCs w:val="28"/>
        </w:rPr>
        <w:t>、</w:t>
      </w:r>
      <w:r>
        <w:rPr>
          <w:rFonts w:ascii="宋体" w:eastAsia="宋体" w:hAnsi="宋体" w:cs="宋体" w:hint="eastAsia"/>
          <w:sz w:val="28"/>
          <w:szCs w:val="28"/>
        </w:rPr>
        <w:t>维保服务费</w:t>
      </w:r>
      <w:r>
        <w:rPr>
          <w:rFonts w:ascii="宋体" w:eastAsia="宋体" w:hAnsi="宋体" w:cs="宋体" w:hint="eastAsia"/>
          <w:sz w:val="28"/>
          <w:szCs w:val="28"/>
        </w:rPr>
        <w:t>。</w:t>
      </w:r>
    </w:p>
    <w:tbl>
      <w:tblPr>
        <w:tblStyle w:val="a3"/>
        <w:tblW w:w="0" w:type="auto"/>
        <w:tblLook w:val="04A0"/>
      </w:tblPr>
      <w:tblGrid>
        <w:gridCol w:w="1479"/>
        <w:gridCol w:w="4174"/>
        <w:gridCol w:w="1434"/>
        <w:gridCol w:w="1434"/>
      </w:tblGrid>
      <w:tr w:rsidR="00527B99">
        <w:tc>
          <w:tcPr>
            <w:tcW w:w="1479"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项目</w:t>
            </w:r>
          </w:p>
        </w:tc>
        <w:tc>
          <w:tcPr>
            <w:tcW w:w="417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内容</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报价</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优惠价</w:t>
            </w:r>
          </w:p>
        </w:tc>
      </w:tr>
      <w:tr w:rsidR="00527B99">
        <w:tc>
          <w:tcPr>
            <w:tcW w:w="1479"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系统升级</w:t>
            </w:r>
          </w:p>
        </w:tc>
        <w:tc>
          <w:tcPr>
            <w:tcW w:w="417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协调升级到</w:t>
            </w:r>
            <w:r>
              <w:rPr>
                <w:rFonts w:ascii="宋体" w:eastAsia="宋体" w:hAnsi="宋体" w:cs="宋体" w:hint="eastAsia"/>
                <w:sz w:val="28"/>
                <w:szCs w:val="28"/>
              </w:rPr>
              <w:t>saas V1.0</w:t>
            </w:r>
            <w:r>
              <w:rPr>
                <w:rFonts w:ascii="宋体" w:eastAsia="宋体" w:hAnsi="宋体" w:cs="宋体" w:hint="eastAsia"/>
                <w:sz w:val="28"/>
                <w:szCs w:val="28"/>
              </w:rPr>
              <w:t>版本</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50000</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30000</w:t>
            </w:r>
          </w:p>
        </w:tc>
      </w:tr>
      <w:tr w:rsidR="00527B99">
        <w:tc>
          <w:tcPr>
            <w:tcW w:w="1479"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lastRenderedPageBreak/>
              <w:t>接口对接</w:t>
            </w:r>
          </w:p>
        </w:tc>
        <w:tc>
          <w:tcPr>
            <w:tcW w:w="4174" w:type="dxa"/>
          </w:tcPr>
          <w:p w:rsidR="00527B99" w:rsidRDefault="002B4401">
            <w:pPr>
              <w:widowControl/>
              <w:jc w:val="left"/>
              <w:rPr>
                <w:rFonts w:ascii="宋体" w:eastAsia="宋体" w:hAnsi="宋体" w:cs="宋体"/>
                <w:sz w:val="28"/>
                <w:szCs w:val="28"/>
              </w:rPr>
            </w:pPr>
            <w:r>
              <w:rPr>
                <w:rFonts w:ascii="宋体" w:eastAsia="宋体" w:hAnsi="宋体" w:cs="宋体" w:hint="eastAsia"/>
                <w:sz w:val="28"/>
                <w:szCs w:val="28"/>
              </w:rPr>
              <w:t>对接化验数据</w:t>
            </w:r>
            <w:r>
              <w:rPr>
                <w:rFonts w:ascii="宋体" w:eastAsia="宋体" w:hAnsi="宋体" w:cs="宋体" w:hint="eastAsia"/>
                <w:sz w:val="28"/>
                <w:szCs w:val="28"/>
              </w:rPr>
              <w:t>（和医院平台对接）</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20000</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15000</w:t>
            </w:r>
          </w:p>
        </w:tc>
      </w:tr>
      <w:tr w:rsidR="00527B99">
        <w:tc>
          <w:tcPr>
            <w:tcW w:w="1479"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维护费</w:t>
            </w:r>
          </w:p>
        </w:tc>
        <w:tc>
          <w:tcPr>
            <w:tcW w:w="417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系统日常维护</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20000</w:t>
            </w:r>
          </w:p>
        </w:tc>
        <w:tc>
          <w:tcPr>
            <w:tcW w:w="1434" w:type="dxa"/>
          </w:tcPr>
          <w:p w:rsidR="00527B99" w:rsidRDefault="002B4401">
            <w:pPr>
              <w:autoSpaceDE w:val="0"/>
              <w:autoSpaceDN w:val="0"/>
              <w:rPr>
                <w:rFonts w:ascii="宋体" w:eastAsia="宋体" w:hAnsi="宋体" w:cs="宋体"/>
                <w:sz w:val="28"/>
                <w:szCs w:val="28"/>
              </w:rPr>
            </w:pPr>
            <w:r>
              <w:rPr>
                <w:rFonts w:ascii="宋体" w:eastAsia="宋体" w:hAnsi="宋体" w:cs="宋体" w:hint="eastAsia"/>
                <w:sz w:val="28"/>
                <w:szCs w:val="28"/>
              </w:rPr>
              <w:t>10000</w:t>
            </w:r>
          </w:p>
        </w:tc>
      </w:tr>
    </w:tbl>
    <w:p w:rsidR="00527B99" w:rsidRDefault="00527B99">
      <w:pPr>
        <w:widowControl/>
        <w:jc w:val="left"/>
        <w:rPr>
          <w:rFonts w:ascii="宋体" w:eastAsia="宋体" w:hAnsi="宋体" w:cs="宋体"/>
          <w:sz w:val="28"/>
          <w:szCs w:val="28"/>
        </w:rPr>
      </w:pPr>
    </w:p>
    <w:p w:rsidR="00527B99" w:rsidRDefault="00527B99">
      <w:pPr>
        <w:autoSpaceDE w:val="0"/>
        <w:autoSpaceDN w:val="0"/>
        <w:jc w:val="left"/>
        <w:rPr>
          <w:rFonts w:ascii="宋体" w:eastAsia="宋体" w:hAnsi="宋体" w:cs="宋体"/>
          <w:kern w:val="0"/>
          <w:sz w:val="28"/>
          <w:szCs w:val="28"/>
        </w:rPr>
      </w:pPr>
    </w:p>
    <w:p w:rsidR="00527B99" w:rsidRDefault="00527B99">
      <w:pPr>
        <w:autoSpaceDE w:val="0"/>
        <w:autoSpaceDN w:val="0"/>
        <w:ind w:firstLineChars="200" w:firstLine="560"/>
        <w:jc w:val="left"/>
        <w:rPr>
          <w:sz w:val="28"/>
          <w:szCs w:val="36"/>
        </w:rPr>
      </w:pPr>
    </w:p>
    <w:p w:rsidR="00527B99" w:rsidRDefault="00527B99">
      <w:pPr>
        <w:rPr>
          <w:sz w:val="28"/>
          <w:szCs w:val="36"/>
        </w:rPr>
      </w:pPr>
    </w:p>
    <w:sectPr w:rsidR="00527B99" w:rsidSect="00527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401" w:rsidRDefault="002B4401" w:rsidP="00CA015A">
      <w:r>
        <w:separator/>
      </w:r>
    </w:p>
  </w:endnote>
  <w:endnote w:type="continuationSeparator" w:id="1">
    <w:p w:rsidR="002B4401" w:rsidRDefault="002B4401" w:rsidP="00CA0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401" w:rsidRDefault="002B4401" w:rsidP="00CA015A">
      <w:r>
        <w:separator/>
      </w:r>
    </w:p>
  </w:footnote>
  <w:footnote w:type="continuationSeparator" w:id="1">
    <w:p w:rsidR="002B4401" w:rsidRDefault="002B4401" w:rsidP="00CA0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D6157"/>
    <w:multiLevelType w:val="singleLevel"/>
    <w:tmpl w:val="E41D6157"/>
    <w:lvl w:ilvl="0">
      <w:start w:val="1"/>
      <w:numFmt w:val="decimal"/>
      <w:suff w:val="nothing"/>
      <w:lvlText w:val="%1、"/>
      <w:lvlJc w:val="left"/>
    </w:lvl>
  </w:abstractNum>
  <w:abstractNum w:abstractNumId="1">
    <w:nsid w:val="00000003"/>
    <w:multiLevelType w:val="singleLevel"/>
    <w:tmpl w:val="00000003"/>
    <w:lvl w:ilvl="0">
      <w:start w:val="1"/>
      <w:numFmt w:val="chineseCounting"/>
      <w:suff w:val="nothing"/>
      <w:lvlText w:val="（%1）"/>
      <w:lvlJc w:val="left"/>
      <w:pPr>
        <w:ind w:left="0"/>
      </w:pPr>
      <w:rPr>
        <w:rFonts w:hint="eastAsia"/>
      </w:rPr>
    </w:lvl>
  </w:abstractNum>
  <w:abstractNum w:abstractNumId="2">
    <w:nsid w:val="3401E871"/>
    <w:multiLevelType w:val="singleLevel"/>
    <w:tmpl w:val="3401E871"/>
    <w:lvl w:ilvl="0">
      <w:start w:val="4"/>
      <w:numFmt w:val="chineseCounting"/>
      <w:suff w:val="nothing"/>
      <w:lvlText w:val="%1、"/>
      <w:lvlJc w:val="left"/>
      <w:rPr>
        <w:rFonts w:hint="eastAsia"/>
      </w:rPr>
    </w:lvl>
  </w:abstractNum>
  <w:abstractNum w:abstractNumId="3">
    <w:nsid w:val="3F101243"/>
    <w:multiLevelType w:val="hybridMultilevel"/>
    <w:tmpl w:val="EF948F62"/>
    <w:lvl w:ilvl="0" w:tplc="B5E6E68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5E2F3A"/>
    <w:multiLevelType w:val="singleLevel"/>
    <w:tmpl w:val="445E2F3A"/>
    <w:lvl w:ilvl="0">
      <w:start w:val="1"/>
      <w:numFmt w:val="chineseCounting"/>
      <w:suff w:val="space"/>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ZTI2ZTFmYjdiYjczOTkyYTVjZjcxMTczNmZhMmIifQ=="/>
  </w:docVars>
  <w:rsids>
    <w:rsidRoot w:val="4DE56212"/>
    <w:rsid w:val="002B4401"/>
    <w:rsid w:val="00527B99"/>
    <w:rsid w:val="00CA015A"/>
    <w:rsid w:val="078A7106"/>
    <w:rsid w:val="1D0E5DB7"/>
    <w:rsid w:val="2CCC3A3B"/>
    <w:rsid w:val="4089599F"/>
    <w:rsid w:val="43770E87"/>
    <w:rsid w:val="489E2672"/>
    <w:rsid w:val="4DE56212"/>
    <w:rsid w:val="664A3E48"/>
    <w:rsid w:val="72BF02F0"/>
    <w:rsid w:val="75802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27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27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autoRedefine/>
    <w:qFormat/>
    <w:rsid w:val="00527B99"/>
    <w:pPr>
      <w:spacing w:line="318" w:lineRule="atLeast"/>
      <w:ind w:left="369" w:firstLine="369"/>
    </w:pPr>
    <w:rPr>
      <w:rFonts w:ascii="宋体"/>
    </w:rPr>
  </w:style>
  <w:style w:type="character" w:customStyle="1" w:styleId="font11">
    <w:name w:val="font11"/>
    <w:basedOn w:val="a0"/>
    <w:qFormat/>
    <w:rsid w:val="00527B99"/>
    <w:rPr>
      <w:rFonts w:ascii="宋体" w:eastAsia="宋体" w:hAnsi="宋体" w:cs="宋体" w:hint="eastAsia"/>
      <w:b/>
      <w:bCs/>
      <w:color w:val="FFFFFF"/>
      <w:sz w:val="22"/>
      <w:szCs w:val="22"/>
      <w:u w:val="none"/>
    </w:rPr>
  </w:style>
  <w:style w:type="character" w:customStyle="1" w:styleId="font31">
    <w:name w:val="font31"/>
    <w:basedOn w:val="a0"/>
    <w:qFormat/>
    <w:rsid w:val="00527B99"/>
    <w:rPr>
      <w:rFonts w:ascii="宋体" w:eastAsia="宋体" w:hAnsi="宋体" w:cs="宋体" w:hint="eastAsia"/>
      <w:color w:val="000000"/>
      <w:sz w:val="20"/>
      <w:szCs w:val="20"/>
      <w:u w:val="none"/>
    </w:rPr>
  </w:style>
  <w:style w:type="paragraph" w:styleId="a4">
    <w:name w:val="header"/>
    <w:basedOn w:val="a"/>
    <w:link w:val="Char"/>
    <w:rsid w:val="00CA0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015A"/>
    <w:rPr>
      <w:kern w:val="2"/>
      <w:sz w:val="18"/>
      <w:szCs w:val="18"/>
    </w:rPr>
  </w:style>
  <w:style w:type="paragraph" w:styleId="a5">
    <w:name w:val="footer"/>
    <w:basedOn w:val="a"/>
    <w:link w:val="Char0"/>
    <w:rsid w:val="00CA015A"/>
    <w:pPr>
      <w:tabs>
        <w:tab w:val="center" w:pos="4153"/>
        <w:tab w:val="right" w:pos="8306"/>
      </w:tabs>
      <w:snapToGrid w:val="0"/>
      <w:jc w:val="left"/>
    </w:pPr>
    <w:rPr>
      <w:sz w:val="18"/>
      <w:szCs w:val="18"/>
    </w:rPr>
  </w:style>
  <w:style w:type="character" w:customStyle="1" w:styleId="Char0">
    <w:name w:val="页脚 Char"/>
    <w:basedOn w:val="a0"/>
    <w:link w:val="a5"/>
    <w:rsid w:val="00CA015A"/>
    <w:rPr>
      <w:kern w:val="2"/>
      <w:sz w:val="18"/>
      <w:szCs w:val="18"/>
    </w:rPr>
  </w:style>
  <w:style w:type="paragraph" w:styleId="a6">
    <w:name w:val="List Paragraph"/>
    <w:basedOn w:val="a"/>
    <w:uiPriority w:val="99"/>
    <w:unhideWhenUsed/>
    <w:rsid w:val="00CA015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小精灵</dc:creator>
  <cp:lastModifiedBy>admin</cp:lastModifiedBy>
  <cp:revision>2</cp:revision>
  <dcterms:created xsi:type="dcterms:W3CDTF">2024-05-06T00:44:00Z</dcterms:created>
  <dcterms:modified xsi:type="dcterms:W3CDTF">2024-08-27T08:41:00Z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B2064041F7664DBC852F2AA12F8B9B3F_13</vt:lpwstr>
  </property>
</Properties>
</file>